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附件一：钢材技术规格书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1、钢筋混凝土用热轧光圆钢筋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 GB1499.1-2017 国家标准及其引用标准。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其中：牌号：HPB300；表面形状：光圆。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（1）包装、标志和质量证明书执行 GB1499.1-2017 国家标准，还应符合 GB/T2101-2018 有关规定。其中：盘卷状态 1000Kg≤每盘≤2500Kg；直条状态 2000Kg≤每捆≤3500Kg，定尺长度 9 米或者 12米。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（2）尺寸、外形、重量及允许偏差执行 GB/T14981-2009 国家标准。公称直径 6-12mm 允许偏差正负 0.3mm，14-22mm 允许偏差正负0.4mm；外形不圆度≤0.4mm。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（3）交货时数量验收方式：成盘卷状态包装的高线按实际重量过磅交货（检斤）；直条状态捆扎包装的圆钢按国家标准规定的理论方法计算重量（检尺）。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（4）检查及验收执行 GB1499.1-2017 标准，钢筋的复验与判定应符合 GB/T17505-2016 的规定。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（5）高线在交货地点过磅（检斤）计重交货，买卖双方对验收时的过磅数量有异议，可找双方都认可的第三方进行复磅，具体事宜买卖双方协商解决。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2、钢筋混凝土用热轧带肋钢筋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 GB/T 1499.2-2018 国家标准及其引用标准。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其中：牌号：HRB400E；表面形状：月牙肋；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HRB400E 钢筋的碳当量。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(1)包装、标志和质量证明书执行 GB1499.2-2018 标准，带肋钢筋表面轧上牌号标志、企业获得的钢筋混凝土用热轧钢筋陈品生产许可证编号（后 3 位）和直径数字；还应符合 GB/T2101-2017 有关规定。其中：盘卷状态 1000Kg≤每盘≤2500Kg；直条状态 2000Kg≤每捆≤3500Kg，定尺长度 9 米或者 12 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(2)尺寸、外形、重量及允许偏差执行 GB1499.2-2018 国家标准。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(3)交货时数量验收方式：成盘卷状态包装的盘螺按实际重量交货（检斤）；直条状态捆扎包装的螺纹钢按国家标准规定的理论方法计算重量（检尺）。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(4)检查及验收执行 GB1499.2-2018 标准，钢筋的复验与判定应符合 GB/T17505-2016 的规定。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（5）盘螺在交货地点过磅（检斤）计重交货，买卖双方对验收时的过磅数量有异议，可找双方都认可的第三方进行复磅，具体事宜买卖双方协商解决。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附件二：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河沙、碎石技术规格书</w:t>
      </w:r>
    </w:p>
    <w:p>
      <w:pPr>
        <w:ind w:firstLine="643"/>
        <w:rPr>
          <w:rFonts w:hint="eastAsia" w:ascii="宋体" w:hAnsi="宋体" w:eastAsia="宋体"/>
          <w:szCs w:val="28"/>
          <w:highlight w:val="none"/>
          <w:lang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highlight w:val="none"/>
        </w:rPr>
        <w:t>1</w:t>
      </w:r>
      <w:r>
        <w:rPr>
          <w:rFonts w:hint="eastAsia" w:ascii="宋体" w:hAnsi="宋体" w:eastAsia="宋体"/>
          <w:b w:val="0"/>
          <w:bCs/>
          <w:sz w:val="32"/>
          <w:szCs w:val="32"/>
          <w:highlight w:val="none"/>
          <w:lang w:eastAsia="zh-CN"/>
        </w:rPr>
        <w:t>.</w:t>
      </w:r>
      <w:r>
        <w:rPr>
          <w:rFonts w:hint="eastAsia" w:ascii="宋体" w:hAnsi="宋体" w:eastAsia="宋体"/>
          <w:b w:val="0"/>
          <w:bCs/>
          <w:sz w:val="32"/>
          <w:szCs w:val="32"/>
          <w:highlight w:val="none"/>
        </w:rPr>
        <w:t>细骨料</w:t>
      </w:r>
      <w:r>
        <w:rPr>
          <w:rFonts w:hint="eastAsia" w:ascii="宋体" w:hAnsi="宋体" w:eastAsia="宋体"/>
          <w:b w:val="0"/>
          <w:bCs/>
          <w:sz w:val="32"/>
          <w:szCs w:val="32"/>
          <w:highlight w:val="none"/>
          <w:lang w:eastAsia="zh-CN"/>
        </w:rPr>
        <w:t>技术指标</w:t>
      </w:r>
    </w:p>
    <w:p>
      <w:pPr>
        <w:ind w:firstLine="560"/>
        <w:rPr>
          <w:rFonts w:ascii="宋体" w:hAnsi="宋体" w:eastAsia="宋体"/>
          <w:szCs w:val="28"/>
          <w:highlight w:val="none"/>
        </w:rPr>
      </w:pPr>
      <w:r>
        <w:rPr>
          <w:rFonts w:hint="eastAsia" w:ascii="宋体" w:hAnsi="宋体" w:eastAsia="宋体"/>
          <w:szCs w:val="28"/>
          <w:highlight w:val="none"/>
        </w:rPr>
        <w:t>1.1  细骨料的检验项目、质量要求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800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序号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检验项目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质量指标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筛分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符合级配要求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细度模数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2.6～3.2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含泥量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泥块含量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≤0.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云母含量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轻物质含量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7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有机物含量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浅于标准色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吸水率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≤2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.0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坚固性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硫化物及硫酸盐含量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≤0.5%(折算成S</w:t>
            </w:r>
            <w:r>
              <w:rPr>
                <w:rFonts w:hint="eastAsia" w:ascii="宋体" w:hAnsi="宋体" w:eastAsia="宋体"/>
                <w:szCs w:val="21"/>
                <w:highlight w:val="none"/>
                <w:vertAlign w:val="subscript"/>
              </w:rPr>
              <w:t>3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氯离子含量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≤0.02%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碱活性</w:t>
            </w:r>
          </w:p>
        </w:tc>
        <w:tc>
          <w:tcPr>
            <w:tcW w:w="286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砂浆膨涨率≤0.1%</w:t>
            </w:r>
          </w:p>
        </w:tc>
      </w:tr>
    </w:tbl>
    <w:p>
      <w:pPr>
        <w:ind w:left="560" w:hanging="420" w:hangingChars="200"/>
        <w:rPr>
          <w:rFonts w:hint="eastAsia" w:ascii="宋体" w:hAnsi="宋体" w:eastAsia="宋体"/>
          <w:szCs w:val="21"/>
          <w:highlight w:val="none"/>
        </w:rPr>
      </w:pPr>
      <w:r>
        <w:rPr>
          <w:rFonts w:hint="eastAsia" w:ascii="宋体" w:hAnsi="宋体" w:eastAsia="宋体"/>
          <w:szCs w:val="21"/>
          <w:highlight w:val="none"/>
        </w:rPr>
        <w:t>注：除5.00mm和0.63mm筛档外，细骨料的实际颗粒级配与GB/T 14684-2011表1中所列的累计筛余百分率相比允许稍有超出分界线，但超出总量不应大于5%。</w:t>
      </w:r>
    </w:p>
    <w:p>
      <w:pPr>
        <w:ind w:firstLine="560"/>
        <w:jc w:val="center"/>
        <w:rPr>
          <w:rFonts w:ascii="宋体" w:hAnsi="宋体" w:eastAsia="宋体"/>
          <w:b/>
          <w:bCs/>
          <w:szCs w:val="28"/>
          <w:highlight w:val="none"/>
        </w:rPr>
      </w:pPr>
      <w:r>
        <w:rPr>
          <w:rFonts w:hint="eastAsia" w:ascii="宋体" w:hAnsi="宋体" w:eastAsia="宋体"/>
          <w:b/>
          <w:bCs/>
          <w:szCs w:val="28"/>
          <w:highlight w:val="none"/>
        </w:rPr>
        <w:t>砂颗粒级配</w:t>
      </w:r>
    </w:p>
    <w:tbl>
      <w:tblPr>
        <w:tblStyle w:val="4"/>
        <w:tblW w:w="0" w:type="auto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34"/>
        <w:gridCol w:w="1134"/>
        <w:gridCol w:w="1134"/>
        <w:gridCol w:w="1134"/>
        <w:gridCol w:w="1134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公称粒径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5.00mm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2.50mm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1.25mm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630μm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315μm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160μm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累计筛余%</w:t>
            </w:r>
          </w:p>
          <w:p>
            <w:pPr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（Ⅱ区）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10～0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25～0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50～10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70～41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92～70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100～90</w:t>
            </w:r>
          </w:p>
        </w:tc>
      </w:tr>
    </w:tbl>
    <w:p>
      <w:pPr>
        <w:ind w:firstLine="0" w:firstLineChars="0"/>
        <w:rPr>
          <w:rFonts w:hint="eastAsia" w:ascii="宋体" w:hAnsi="宋体" w:eastAsia="宋体"/>
          <w:highlight w:val="none"/>
        </w:rPr>
      </w:pPr>
    </w:p>
    <w:p>
      <w:pPr>
        <w:pStyle w:val="3"/>
        <w:ind w:firstLine="560"/>
        <w:rPr>
          <w:rFonts w:hint="eastAsia" w:ascii="宋体" w:hAnsi="宋体" w:eastAsia="宋体"/>
          <w:highlight w:val="none"/>
        </w:rPr>
      </w:pPr>
      <w:r>
        <w:rPr>
          <w:rFonts w:hint="eastAsia" w:ascii="宋体" w:hAnsi="宋体" w:eastAsia="宋体"/>
          <w:highlight w:val="none"/>
        </w:rPr>
        <w:t>1.2采用规范</w:t>
      </w:r>
    </w:p>
    <w:p>
      <w:pPr>
        <w:pStyle w:val="3"/>
        <w:ind w:firstLine="560"/>
        <w:rPr>
          <w:rFonts w:hint="eastAsia" w:ascii="宋体" w:hAnsi="宋体" w:eastAsia="宋体"/>
          <w:highlight w:val="none"/>
          <w:lang w:val="en-US" w:eastAsia="zh-CN"/>
        </w:rPr>
      </w:pPr>
      <w:r>
        <w:rPr>
          <w:rFonts w:hint="eastAsia" w:ascii="宋体" w:hAnsi="宋体" w:eastAsia="宋体"/>
          <w:highlight w:val="none"/>
        </w:rPr>
        <w:t>《铁路混凝土》TB/T3275-201</w:t>
      </w:r>
      <w:r>
        <w:rPr>
          <w:rFonts w:hint="eastAsia" w:ascii="宋体" w:hAnsi="宋体" w:eastAsia="宋体"/>
          <w:highlight w:val="none"/>
          <w:lang w:val="en-US" w:eastAsia="zh-CN"/>
        </w:rPr>
        <w:t>8</w:t>
      </w:r>
    </w:p>
    <w:p>
      <w:pPr>
        <w:pStyle w:val="3"/>
        <w:ind w:firstLine="560"/>
        <w:rPr>
          <w:rFonts w:hint="eastAsia" w:ascii="宋体" w:hAnsi="宋体" w:eastAsia="宋体"/>
          <w:highlight w:val="none"/>
        </w:rPr>
      </w:pPr>
      <w:r>
        <w:rPr>
          <w:rFonts w:hint="eastAsia" w:ascii="宋体" w:hAnsi="宋体" w:eastAsia="宋体"/>
          <w:highlight w:val="none"/>
        </w:rPr>
        <w:t>《建设用砂》GB/T 14684-2011</w:t>
      </w:r>
    </w:p>
    <w:p>
      <w:pPr>
        <w:pStyle w:val="3"/>
        <w:ind w:firstLine="560"/>
        <w:rPr>
          <w:rFonts w:hint="default" w:ascii="宋体" w:hAnsi="宋体" w:eastAsia="宋体"/>
          <w:highlight w:val="none"/>
          <w:lang w:val="en-US" w:eastAsia="zh-CN"/>
        </w:rPr>
      </w:pPr>
      <w:r>
        <w:rPr>
          <w:rFonts w:hint="eastAsia" w:ascii="宋体" w:hAnsi="宋体" w:eastAsia="宋体"/>
          <w:highlight w:val="none"/>
          <w:lang w:eastAsia="zh-CN"/>
        </w:rPr>
        <w:t>《高速铁路预制后张法预应力混凝土简支梁》</w:t>
      </w:r>
      <w:r>
        <w:rPr>
          <w:rFonts w:hint="eastAsia" w:ascii="宋体" w:hAnsi="宋体" w:eastAsia="宋体"/>
          <w:highlight w:val="none"/>
          <w:lang w:val="en-US" w:eastAsia="zh-CN"/>
        </w:rPr>
        <w:t>GB/T 37439-2019</w:t>
      </w:r>
    </w:p>
    <w:p>
      <w:pPr>
        <w:ind w:firstLine="643"/>
        <w:rPr>
          <w:rFonts w:hint="eastAsia" w:ascii="宋体" w:hAnsi="宋体" w:eastAsia="宋体"/>
          <w:b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/>
          <w:b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宋体" w:hAnsi="宋体" w:eastAsia="宋体"/>
          <w:szCs w:val="28"/>
          <w:highlight w:val="none"/>
          <w:lang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highlight w:val="none"/>
        </w:rPr>
        <w:t>2</w:t>
      </w:r>
      <w:r>
        <w:rPr>
          <w:rFonts w:hint="eastAsia" w:ascii="宋体" w:hAnsi="宋体" w:eastAsia="宋体"/>
          <w:b w:val="0"/>
          <w:bCs/>
          <w:sz w:val="32"/>
          <w:szCs w:val="32"/>
          <w:highlight w:val="none"/>
          <w:lang w:eastAsia="zh-CN"/>
        </w:rPr>
        <w:t>.</w:t>
      </w:r>
      <w:r>
        <w:rPr>
          <w:rFonts w:hint="eastAsia" w:ascii="宋体" w:hAnsi="宋体" w:eastAsia="宋体"/>
          <w:b w:val="0"/>
          <w:bCs/>
          <w:sz w:val="32"/>
          <w:szCs w:val="32"/>
          <w:highlight w:val="none"/>
        </w:rPr>
        <w:t>粗骨料</w:t>
      </w:r>
      <w:r>
        <w:rPr>
          <w:rFonts w:hint="eastAsia" w:ascii="宋体" w:hAnsi="宋体" w:eastAsia="宋体"/>
          <w:b w:val="0"/>
          <w:bCs/>
          <w:sz w:val="32"/>
          <w:szCs w:val="32"/>
          <w:highlight w:val="none"/>
          <w:lang w:eastAsia="zh-CN"/>
        </w:rPr>
        <w:t>技术指标</w:t>
      </w:r>
    </w:p>
    <w:p>
      <w:pPr>
        <w:ind w:firstLine="560"/>
        <w:rPr>
          <w:rFonts w:ascii="宋体" w:hAnsi="宋体" w:eastAsia="宋体"/>
          <w:szCs w:val="28"/>
          <w:highlight w:val="none"/>
        </w:rPr>
      </w:pPr>
      <w:r>
        <w:rPr>
          <w:rFonts w:hint="eastAsia" w:ascii="宋体" w:hAnsi="宋体" w:eastAsia="宋体"/>
          <w:szCs w:val="28"/>
          <w:highlight w:val="none"/>
        </w:rPr>
        <w:t>2.1  粗骨料的检验项目、质量要求。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3611"/>
        <w:gridCol w:w="3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序号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检验项目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质量指标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颗粒级配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符合级配要求 最大公称粒径不应大于2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含泥量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泥块含量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≤0.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压碎指标值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针片状颗粒总含量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吸水率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7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紧密空隙率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坚固性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氯离子含量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≤0.02%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碱活性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砂浆膨涨率≤0.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  <w:t>岩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t>石抗压强度MPa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母岩与混凝土强度等级之比不应小于2.0</w:t>
            </w:r>
          </w:p>
        </w:tc>
      </w:tr>
    </w:tbl>
    <w:p>
      <w:pPr>
        <w:ind w:firstLine="562"/>
        <w:jc w:val="center"/>
        <w:rPr>
          <w:rFonts w:hint="eastAsia" w:ascii="宋体" w:hAnsi="宋体" w:eastAsia="宋体"/>
          <w:b/>
          <w:szCs w:val="28"/>
          <w:highlight w:val="none"/>
        </w:rPr>
      </w:pPr>
    </w:p>
    <w:p>
      <w:pPr>
        <w:ind w:firstLine="562"/>
        <w:jc w:val="center"/>
        <w:rPr>
          <w:rFonts w:ascii="宋体" w:hAnsi="宋体" w:eastAsia="宋体"/>
          <w:b/>
          <w:szCs w:val="28"/>
          <w:highlight w:val="none"/>
        </w:rPr>
      </w:pPr>
      <w:r>
        <w:rPr>
          <w:rFonts w:hint="eastAsia" w:ascii="宋体" w:hAnsi="宋体" w:eastAsia="宋体"/>
          <w:b/>
          <w:szCs w:val="28"/>
          <w:highlight w:val="none"/>
        </w:rPr>
        <w:t>粗骨料的颗粒级配范围</w:t>
      </w:r>
    </w:p>
    <w:tbl>
      <w:tblPr>
        <w:tblStyle w:val="4"/>
        <w:tblW w:w="9107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18"/>
        <w:gridCol w:w="1123"/>
        <w:gridCol w:w="1124"/>
        <w:gridCol w:w="1124"/>
        <w:gridCol w:w="1382"/>
        <w:gridCol w:w="1038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级配</w:t>
            </w:r>
          </w:p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情况</w:t>
            </w:r>
          </w:p>
        </w:tc>
        <w:tc>
          <w:tcPr>
            <w:tcW w:w="1118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公称粒级（mm）</w:t>
            </w:r>
          </w:p>
        </w:tc>
        <w:tc>
          <w:tcPr>
            <w:tcW w:w="6742" w:type="dxa"/>
            <w:gridSpan w:val="6"/>
            <w:noWrap w:val="0"/>
            <w:vAlign w:val="center"/>
          </w:tcPr>
          <w:p>
            <w:pPr>
              <w:ind w:firstLine="56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累计筛余，按质量（%）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742" w:type="dxa"/>
            <w:gridSpan w:val="6"/>
            <w:noWrap w:val="0"/>
            <w:vAlign w:val="center"/>
          </w:tcPr>
          <w:p>
            <w:pPr>
              <w:ind w:firstLine="56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方孔筛筛孔边长尺寸（mm）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2.36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4.75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9.5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16.0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19.0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0"/>
                <w:highlight w:val="none"/>
              </w:rPr>
              <w:t>单级配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szCs w:val="18"/>
                <w:highlight w:val="none"/>
              </w:rPr>
              <w:t>5～10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szCs w:val="18"/>
                <w:highlight w:val="none"/>
              </w:rPr>
              <w:t>95～100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szCs w:val="18"/>
                <w:highlight w:val="none"/>
              </w:rPr>
              <w:t>80～100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0"/>
                <w:highlight w:val="none"/>
              </w:rPr>
              <w:t>0～15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0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ind w:firstLine="56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ind w:firstLine="56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szCs w:val="18"/>
                <w:highlight w:val="none"/>
              </w:rPr>
              <w:t>10～20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ind w:left="0" w:leftChars="0" w:firstLine="220" w:firstLineChars="100"/>
              <w:jc w:val="center"/>
              <w:rPr>
                <w:rFonts w:ascii="宋体" w:hAnsi="宋体" w:eastAsia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szCs w:val="18"/>
                <w:highlight w:val="none"/>
              </w:rPr>
              <w:t>——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szCs w:val="18"/>
                <w:highlight w:val="none"/>
              </w:rPr>
              <w:t>95～100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0"/>
                <w:highlight w:val="none"/>
              </w:rPr>
              <w:t>85～100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——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0～15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0"/>
                <w:highlight w:val="none"/>
              </w:rPr>
              <w:t>连续级配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szCs w:val="18"/>
                <w:highlight w:val="none"/>
              </w:rPr>
              <w:t>5～20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szCs w:val="18"/>
                <w:highlight w:val="none"/>
              </w:rPr>
              <w:t>95～100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2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22"/>
                <w:szCs w:val="18"/>
                <w:highlight w:val="none"/>
              </w:rPr>
              <w:t>90～100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0"/>
                <w:highlight w:val="none"/>
              </w:rPr>
              <w:t>40～80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——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0～10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0</w:t>
            </w:r>
          </w:p>
        </w:tc>
      </w:tr>
    </w:tbl>
    <w:p>
      <w:pPr>
        <w:pStyle w:val="3"/>
        <w:ind w:firstLine="560"/>
        <w:rPr>
          <w:rFonts w:hint="eastAsia" w:ascii="宋体" w:hAnsi="宋体" w:eastAsia="宋体"/>
          <w:highlight w:val="none"/>
        </w:rPr>
      </w:pPr>
      <w:r>
        <w:rPr>
          <w:rFonts w:hint="eastAsia" w:ascii="宋体" w:hAnsi="宋体" w:eastAsia="宋体"/>
          <w:highlight w:val="none"/>
        </w:rPr>
        <w:t>2.2采用规范</w:t>
      </w:r>
    </w:p>
    <w:p>
      <w:pPr>
        <w:pStyle w:val="3"/>
        <w:ind w:firstLine="560"/>
        <w:rPr>
          <w:rFonts w:hint="eastAsia" w:ascii="宋体" w:hAnsi="宋体" w:eastAsia="宋体"/>
          <w:highlight w:val="none"/>
          <w:lang w:val="en-US" w:eastAsia="zh-CN"/>
        </w:rPr>
      </w:pPr>
      <w:r>
        <w:rPr>
          <w:rFonts w:hint="eastAsia" w:ascii="宋体" w:hAnsi="宋体" w:eastAsia="宋体"/>
          <w:highlight w:val="none"/>
        </w:rPr>
        <w:t>《铁路混凝土》TB/T3275-201</w:t>
      </w:r>
      <w:r>
        <w:rPr>
          <w:rFonts w:hint="eastAsia" w:ascii="宋体" w:hAnsi="宋体" w:eastAsia="宋体"/>
          <w:highlight w:val="none"/>
          <w:lang w:val="en-US" w:eastAsia="zh-CN"/>
        </w:rPr>
        <w:t>8</w:t>
      </w:r>
    </w:p>
    <w:p>
      <w:pPr>
        <w:pStyle w:val="3"/>
        <w:ind w:firstLine="560"/>
        <w:rPr>
          <w:rFonts w:hint="eastAsia" w:ascii="宋体" w:hAnsi="宋体" w:eastAsia="宋体"/>
          <w:highlight w:val="none"/>
        </w:rPr>
      </w:pPr>
      <w:r>
        <w:rPr>
          <w:rFonts w:hint="eastAsia" w:ascii="宋体" w:hAnsi="宋体" w:eastAsia="宋体"/>
          <w:highlight w:val="none"/>
        </w:rPr>
        <w:t>《建设用卵石、碎石》GB/T 14685-2011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highlight w:val="none"/>
          <w:lang w:eastAsia="zh-CN"/>
        </w:rPr>
        <w:t>《高速铁路预制后张法预应力混凝土简支梁》</w:t>
      </w:r>
      <w:r>
        <w:rPr>
          <w:rFonts w:hint="eastAsia" w:ascii="宋体" w:hAnsi="宋体" w:eastAsia="宋体"/>
          <w:highlight w:val="none"/>
          <w:lang w:val="en-US" w:eastAsia="zh-CN"/>
        </w:rPr>
        <w:t>GB/T 37439-2019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09D4"/>
    <w:rsid w:val="00333A7C"/>
    <w:rsid w:val="2F9109D4"/>
    <w:rsid w:val="375923E8"/>
    <w:rsid w:val="39B67254"/>
    <w:rsid w:val="407B1FE6"/>
    <w:rsid w:val="45042C5B"/>
    <w:rsid w:val="6E0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0"/>
    </w:pPr>
    <w:rPr>
      <w:rFonts w:eastAsia="宋体"/>
      <w:sz w:val="21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2020-07-28T08:10:00Z</dcterms:created>
  <dc:creator>法夫</dc:creator>
  <cp:lastModifiedBy>法夫</cp:lastModifiedBy>
  <dcterms:modified xsi:type="dcterms:W3CDTF">2020-07-28T09:40:10Z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